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color w:val="C45911"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198120</wp:posOffset>
            </wp:positionV>
            <wp:extent cx="2757170" cy="1498600"/>
            <wp:effectExtent l="0" t="0" r="0" b="0"/>
            <wp:wrapSquare wrapText="bothSides"/>
            <wp:docPr id="2" name="Image 8" descr="http://festival-gnaoua.net/site_media/photos/droitsdelhomme-01.jpg.310x133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festival-gnaoua.net/site_media/photos/droitsdelhomme-01.jpg.310x133_q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79"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Traditional Arabic" w:hAnsi="Traditional Arabic" w:cs="Traditional Arabic"/>
          <w:b/>
          <w:bCs/>
          <w:color w:val="C45911"/>
          <w:sz w:val="36"/>
          <w:szCs w:val="36"/>
          <w:rtl/>
        </w:rPr>
      </w:pPr>
    </w:p>
    <w:p w:rsidR="00607FAB" w:rsidRPr="00CE5F32" w:rsidRDefault="00245679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</w:pPr>
      <w:r w:rsidRPr="00CE5F32"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  <w:t>الاجتماع</w:t>
      </w:r>
      <w:r w:rsidR="00607FAB" w:rsidRPr="00CE5F32"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  <w:t xml:space="preserve"> الإقليمي العربي حول "العنف ضد النساء، تطبيق القوانين و الاجتهاد القضائي "</w:t>
      </w:r>
    </w:p>
    <w:p w:rsidR="00607FAB" w:rsidRPr="00CE5F32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</w:pPr>
      <w:r w:rsidRPr="00CE5F32">
        <w:rPr>
          <w:rFonts w:ascii="Arabic Typesetting" w:eastAsia="Times New Roman" w:hAnsi="Arabic Typesetting" w:cs="Arabic Typesetting"/>
          <w:b/>
          <w:bCs/>
          <w:color w:val="C45911"/>
          <w:sz w:val="48"/>
          <w:szCs w:val="48"/>
          <w:rtl/>
        </w:rPr>
        <w:t xml:space="preserve"> 2</w:t>
      </w:r>
      <w:r w:rsidRPr="00CE5F32"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  <w:t>5نونبر</w:t>
      </w:r>
      <w:r w:rsidRPr="00CE5F32">
        <w:rPr>
          <w:rFonts w:ascii="Arabic Typesetting" w:eastAsia="Times New Roman" w:hAnsi="Arabic Typesetting" w:cs="Arabic Typesetting"/>
          <w:b/>
          <w:bCs/>
          <w:color w:val="C45911"/>
          <w:sz w:val="48"/>
          <w:szCs w:val="48"/>
          <w:rtl/>
        </w:rPr>
        <w:t xml:space="preserve"> 2019، </w:t>
      </w:r>
      <w:r w:rsidRPr="00CE5F32">
        <w:rPr>
          <w:rFonts w:ascii="Arabic Typesetting" w:hAnsi="Arabic Typesetting" w:cs="Arabic Typesetting"/>
          <w:b/>
          <w:bCs/>
          <w:color w:val="C45911"/>
          <w:sz w:val="48"/>
          <w:szCs w:val="48"/>
          <w:rtl/>
        </w:rPr>
        <w:t xml:space="preserve">الدار البيضاء </w:t>
      </w:r>
    </w:p>
    <w:p w:rsidR="00607FAB" w:rsidRPr="00CE5F32" w:rsidRDefault="00607FAB" w:rsidP="00607FAB">
      <w:pPr>
        <w:tabs>
          <w:tab w:val="right" w:pos="3969"/>
        </w:tabs>
        <w:bidi/>
        <w:spacing w:after="0" w:line="240" w:lineRule="auto"/>
        <w:ind w:left="26" w:right="-142"/>
        <w:jc w:val="center"/>
        <w:rPr>
          <w:rFonts w:ascii="Arabic Typesetting" w:eastAsia="Times New Roman" w:hAnsi="Arabic Typesetting" w:cs="Arabic Typesetting"/>
          <w:sz w:val="48"/>
          <w:szCs w:val="48"/>
          <w:rtl/>
          <w:lang w:bidi="ar-MA"/>
        </w:rPr>
      </w:pPr>
    </w:p>
    <w:p w:rsidR="00607FAB" w:rsidRPr="00CE5F32" w:rsidRDefault="00607FAB" w:rsidP="00607FAB">
      <w:pPr>
        <w:pStyle w:val="arttextmain"/>
        <w:bidi/>
        <w:spacing w:before="0" w:beforeAutospacing="0" w:after="0" w:afterAutospacing="0"/>
        <w:ind w:left="26" w:right="-142"/>
        <w:jc w:val="center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  <w:r w:rsidRPr="00CE5F32">
        <w:rPr>
          <w:rFonts w:ascii="Arabic Typesetting" w:hAnsi="Arabic Typesetting" w:cs="Arabic Typesetting"/>
          <w:b/>
          <w:bCs/>
          <w:color w:val="4472C4"/>
          <w:sz w:val="48"/>
          <w:szCs w:val="48"/>
          <w:rtl/>
        </w:rPr>
        <w:t>كلمة السيدة رئيسة المجلس الوطني لحقوق الإنسان</w:t>
      </w:r>
    </w:p>
    <w:p w:rsidR="00607FAB" w:rsidRPr="00CE5F32" w:rsidRDefault="00550932" w:rsidP="00607FAB">
      <w:pPr>
        <w:tabs>
          <w:tab w:val="right" w:pos="3969"/>
        </w:tabs>
        <w:bidi/>
        <w:spacing w:after="0" w:line="240" w:lineRule="auto"/>
        <w:ind w:left="26" w:right="-142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</w:rPr>
      </w:pPr>
      <w:r w:rsidRPr="00CE5F32">
        <w:rPr>
          <w:rFonts w:ascii="Arabic Typesetting" w:eastAsia="Times New Roman" w:hAnsi="Arabic Typesetting" w:cs="Arabic Typesetting"/>
          <w:color w:val="333333"/>
          <w:sz w:val="48"/>
          <w:szCs w:val="48"/>
          <w:rtl/>
        </w:rPr>
        <w:br w:type="page"/>
      </w:r>
    </w:p>
    <w:p w:rsidR="007729FB" w:rsidRPr="00CE5F32" w:rsidRDefault="00245679" w:rsidP="007729FB">
      <w:pPr>
        <w:tabs>
          <w:tab w:val="left" w:pos="4569"/>
          <w:tab w:val="right" w:pos="9072"/>
          <w:tab w:val="right" w:pos="9639"/>
        </w:tabs>
        <w:bidi/>
        <w:spacing w:after="0"/>
        <w:jc w:val="both"/>
        <w:rPr>
          <w:rFonts w:ascii="Arabic Typesetting" w:hAnsi="Arabic Typesetting" w:cs="Arabic Typesetting"/>
          <w:b/>
          <w:bCs/>
          <w:sz w:val="48"/>
          <w:szCs w:val="48"/>
        </w:rPr>
      </w:pP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السيدات والسادة </w:t>
      </w:r>
    </w:p>
    <w:p w:rsidR="00245679" w:rsidRPr="00CE5F32" w:rsidRDefault="00245679" w:rsidP="00C25BB8">
      <w:pPr>
        <w:tabs>
          <w:tab w:val="left" w:pos="4569"/>
          <w:tab w:val="right" w:pos="9072"/>
          <w:tab w:val="right" w:pos="9639"/>
        </w:tabs>
        <w:bidi/>
        <w:spacing w:after="0"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أيها الحضور الكريم، </w:t>
      </w:r>
    </w:p>
    <w:p w:rsidR="00B27BA8" w:rsidRPr="00CE5F32" w:rsidRDefault="007729FB" w:rsidP="00B27BA8">
      <w:pPr>
        <w:tabs>
          <w:tab w:val="left" w:pos="4569"/>
          <w:tab w:val="right" w:pos="9639"/>
        </w:tabs>
        <w:bidi/>
        <w:spacing w:before="240" w:after="24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 w:bidi="ar-MA"/>
        </w:rPr>
        <w:t xml:space="preserve">لا بد في البداية أن أعبر عن </w:t>
      </w:r>
      <w:r w:rsidR="00B27BA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 w:bidi="ar-MA"/>
        </w:rPr>
        <w:t>ال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 w:bidi="ar-MA"/>
        </w:rPr>
        <w:t>سعاد</w:t>
      </w:r>
      <w:r w:rsidR="00B27BA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 w:bidi="ar-MA"/>
        </w:rPr>
        <w:t xml:space="preserve">ة التي تغمرني وأنا أتقاسم وإياكم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 w:bidi="ar-MA"/>
        </w:rPr>
        <w:t xml:space="preserve">لحظات </w:t>
      </w:r>
      <w:r w:rsidR="00245679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الاجتماع الإقليمي العربي حول "العنف ضد النساء، تطبيق القوانين و الاجتهاد القضائي "</w:t>
      </w:r>
      <w:r w:rsidR="00B27BA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.</w:t>
      </w:r>
    </w:p>
    <w:p w:rsidR="007729FB" w:rsidRPr="00CE5F32" w:rsidRDefault="00B27BA8" w:rsidP="00B27BA8">
      <w:pPr>
        <w:tabs>
          <w:tab w:val="left" w:pos="4569"/>
          <w:tab w:val="right" w:pos="9639"/>
        </w:tabs>
        <w:bidi/>
        <w:spacing w:before="240" w:after="24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ولا يسعني إلا أن 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أهنئ المنظمين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على 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اختيارهم تقييم المنظومة القانونية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المرصودة 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لحماية النساء والفتيات من العنف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من خلال تطبيقاتها القضائية، وعلى إشراك 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فاعلات ومسؤولات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من 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مختلف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المشارب والهيئات و</w:t>
      </w:r>
      <w:r w:rsidR="007729FB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المجالات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في هذا التقييم.</w:t>
      </w:r>
    </w:p>
    <w:p w:rsidR="00B27BA8" w:rsidRPr="00CE5F32" w:rsidRDefault="00B27BA8" w:rsidP="00B27BA8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إن </w:t>
      </w:r>
      <w:r w:rsidR="007729FB"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موضوع العنف ضد النساء والفتيات </w:t>
      </w: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يكتسي </w:t>
      </w:r>
      <w:r w:rsidR="007729FB"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أهمية قصوى في </w:t>
      </w: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بلداننا، </w:t>
      </w:r>
      <w:r w:rsidR="007729FB"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ليس فقط </w:t>
      </w:r>
      <w:r w:rsidRPr="00CE5F32">
        <w:rPr>
          <w:rFonts w:ascii="Arabic Typesetting" w:hAnsi="Arabic Typesetting" w:cs="Arabic Typesetting"/>
          <w:b/>
          <w:bCs/>
          <w:sz w:val="48"/>
          <w:szCs w:val="48"/>
          <w:rtl/>
        </w:rPr>
        <w:t>لأن هذا العنف يُؤَبِّد التمييز ويُعِيق المساواة، ولكن لأنه يطال إنسانية النساء والفتيات وكينونتهن وكرامتهن أيضا ويُخَلِّف لديهن أضرارا خطيرة ومركبة وممتدة في الزمان والمكان.</w:t>
      </w:r>
    </w:p>
    <w:p w:rsidR="000C4018" w:rsidRPr="00CE5F32" w:rsidRDefault="000C4018" w:rsidP="00CE5F32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</w:pP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فا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>لعنف القائم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 xml:space="preserve"> على النوع </w:t>
      </w:r>
      <w:r w:rsidR="00B27BA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 xml:space="preserve">يُعَدُّ </w:t>
      </w:r>
      <w:r w:rsidR="00A9707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>“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>انتهاك</w:t>
      </w:r>
      <w:r w:rsidR="00B27BA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>َ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 xml:space="preserve"> حقوق الإنسان </w:t>
      </w:r>
      <w:r w:rsidR="00A9707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 xml:space="preserve">الأكثر تفشيا 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>والأقل اعترافاً به في العالم”</w:t>
      </w:r>
      <w:r w:rsidR="00A9707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eastAsia="en-US"/>
        </w:rPr>
        <w:t xml:space="preserve">؛ </w:t>
      </w:r>
      <w:r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حيث  </w:t>
      </w:r>
      <w:r w:rsidR="00CE5F32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تتعرضو</w:t>
      </w:r>
      <w:r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اﺣﺪةﻣﻦ كل </w:t>
      </w:r>
      <w:r w:rsidR="00CE5F32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ﺛﻼث</w:t>
      </w:r>
      <w:r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ﻧﺴﺎءوﻓﺘﻴﺎت في العالم ﻟﻠﻌﻨﻒاﻟﺠﺴﺪي أو اﻟﺠﻨﺴﻲ خلال ﺣﻴﺎﺗﻬﻦ</w:t>
      </w:r>
      <w:r w:rsidR="005A06FD"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.</w:t>
      </w:r>
    </w:p>
    <w:p w:rsidR="00CE5F32" w:rsidRPr="00AD4C46" w:rsidRDefault="00CE5F32" w:rsidP="008E591C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b/>
          <w:bCs/>
          <w:color w:val="000000"/>
          <w:sz w:val="48"/>
          <w:szCs w:val="48"/>
          <w:shd w:val="clear" w:color="auto" w:fill="FFFFFF"/>
          <w:rtl/>
        </w:rPr>
      </w:pPr>
      <w:r w:rsidRPr="00AD4C46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shd w:val="clear" w:color="auto" w:fill="FFFFFF"/>
          <w:rtl/>
        </w:rPr>
        <w:t>أي</w:t>
      </w:r>
      <w:r w:rsidR="00AD4C46" w:rsidRPr="00AD4C46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shd w:val="clear" w:color="auto" w:fill="FFFFFF"/>
          <w:rtl/>
        </w:rPr>
        <w:t>ت</w:t>
      </w:r>
      <w:r w:rsidRPr="00AD4C46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shd w:val="clear" w:color="auto" w:fill="FFFFFF"/>
          <w:rtl/>
        </w:rPr>
        <w:t xml:space="preserve">ها </w:t>
      </w:r>
      <w:r w:rsidRPr="00AD4C46">
        <w:rPr>
          <w:rFonts w:ascii="Arabic Typesetting" w:hAnsi="Arabic Typesetting" w:cs="Arabic Typesetting"/>
          <w:b/>
          <w:bCs/>
          <w:color w:val="000000"/>
          <w:sz w:val="48"/>
          <w:szCs w:val="48"/>
          <w:shd w:val="clear" w:color="auto" w:fill="FFFFFF"/>
          <w:rtl/>
        </w:rPr>
        <w:t>السيدات والسادة</w:t>
      </w:r>
      <w:r w:rsidRPr="00AD4C46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shd w:val="clear" w:color="auto" w:fill="FFFFFF"/>
          <w:rtl/>
        </w:rPr>
        <w:t>،</w:t>
      </w:r>
    </w:p>
    <w:p w:rsidR="008E591C" w:rsidRPr="00CE5F32" w:rsidRDefault="00CE5F32" w:rsidP="00CE5F32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</w:pP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لقد مضى 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أكثر من ربع قرن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 على</w:t>
      </w:r>
      <w:r w:rsidR="008E591C" w:rsidRPr="005A06FD">
        <w:rPr>
          <w:rFonts w:ascii="Arabic Typesetting" w:hAnsi="Arabic Typesetting" w:cs="Arabic Typesetting"/>
          <w:i/>
          <w:iCs/>
          <w:color w:val="000000"/>
          <w:sz w:val="48"/>
          <w:szCs w:val="48"/>
          <w:shd w:val="clear" w:color="auto" w:fill="FFFFFF"/>
          <w:rtl/>
        </w:rPr>
        <w:t>الإعلان العالمي للقضاء على العنف ضد النساء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الصادر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 سنة 1993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و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الذي صنف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 بحق 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ه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ذا العنف باعتباره انتهاكا من</w:t>
      </w:r>
      <w:r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 انتهاكات حقوق ال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إ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نسان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، ونحن الآن بصدد التحضير ل:</w:t>
      </w:r>
      <w:r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 ب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كين 25 وتقييم الإجراءات التي تم اعتمادها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في ضوء خطة العمل المنبثقة عنه. فهل يا تُرَى بِوُسْعِنا أ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ن نعلن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أ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ننا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أ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حرزنا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نتائج 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 xml:space="preserve">مشجعة 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في مجال 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مناهضة العنف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 ضد النساء</w:t>
      </w:r>
      <w:r w:rsidR="008E591C" w:rsidRPr="00CE5F32">
        <w:rPr>
          <w:rFonts w:ascii="Arabic Typesetting" w:hAnsi="Arabic Typesetting" w:cs="Arabic Typesetting"/>
          <w:color w:val="000000"/>
          <w:sz w:val="48"/>
          <w:szCs w:val="48"/>
          <w:shd w:val="clear" w:color="auto" w:fill="FFFFFF"/>
          <w:rtl/>
        </w:rPr>
        <w:t>؟</w:t>
      </w:r>
    </w:p>
    <w:p w:rsidR="001E0437" w:rsidRDefault="00CE5F32" w:rsidP="001E0437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</w:pP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lastRenderedPageBreak/>
        <w:t xml:space="preserve">مما لا شك فيه أن العنف </w:t>
      </w:r>
      <w:r w:rsidR="001E0437"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ضد النساء</w:t>
      </w:r>
      <w:r w:rsidR="005A06FD"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>، وبدلا من أن يزول،</w:t>
      </w:r>
      <w:r>
        <w:rPr>
          <w:rFonts w:ascii="Arabic Typesetting" w:hAnsi="Arabic Typesetting" w:cs="Arabic Typesetting" w:hint="cs"/>
          <w:color w:val="000000"/>
          <w:sz w:val="48"/>
          <w:szCs w:val="48"/>
          <w:shd w:val="clear" w:color="auto" w:fill="FFFFFF"/>
          <w:rtl/>
        </w:rPr>
        <w:t xml:space="preserve">قد 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تحول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، خلال 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العقود الأخيرة، إلى 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آفة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مجتمعية 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بنيوية،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وفي ذات الوقت، إلى مظهر من مظاهر التمييز ضد النساء واستمرار 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علاقات غير متساوية بين 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النساء و</w:t>
      </w:r>
      <w:r w:rsidR="00BA0BF8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الرجال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. والأدهى من ذلك أنه أصبح كذلك 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عنصرا أساسيا 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من عناصر 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جرائم الاتجار في النساء والفتيات، والعنف الزوجي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وتجليا واضحا من تجلياتها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، 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وأنه ساهم في 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توسيع مف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ا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ه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ي</w:t>
      </w:r>
      <w:r w:rsidR="008E591C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م الاغتصاب والدعارة القسرية والاستعباد الجنسي والحمل القسري وتشويه الأعضاء التناسلية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، وما إلى ذلك.</w:t>
      </w:r>
    </w:p>
    <w:p w:rsidR="00BA0BF8" w:rsidRPr="00CE5F32" w:rsidRDefault="001E0437" w:rsidP="001E0437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</w:pP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وبالفعل فقد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وجدت هذه ال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أ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شكال 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والتجليات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المختلفة والمتعددة للعنف مكانها في 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عدد من الصكوك الدولية التي عرفتها المنظومة الأممية لحقوق الإنسان خاصة في مجال الحقوق الإنسانية للنساء،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وفي عدد من 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التشريعات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الوطنية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.</w:t>
      </w:r>
    </w:p>
    <w:p w:rsidR="005A06FD" w:rsidRDefault="000C3FD7" w:rsidP="005A06FD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و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الحق أنه ما كان ل</w:t>
      </w:r>
      <w:r w:rsidR="001E0437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هذه ال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أ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شكال 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والتجليات أن تجد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مكانها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في تلك المنظومة وهذه التشريعات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لولا تعبئة النساء والفاعلات</w:t>
      </w:r>
      <w:r w:rsidR="001E0437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المنتصرات لحقوق النساء من مختلف الأطياف</w:t>
      </w:r>
      <w:r w:rsidR="005A06FD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ومساهمة مناصريهن من الرجال.</w:t>
      </w:r>
    </w:p>
    <w:p w:rsidR="000C3FD7" w:rsidRPr="00CE5F32" w:rsidRDefault="005A06FD" w:rsidP="005A06FD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color w:val="000000" w:themeColor="text1"/>
          <w:sz w:val="48"/>
          <w:szCs w:val="48"/>
          <w:lang w:eastAsia="en-US"/>
        </w:rPr>
      </w:pP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ف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بفضلكم وفضلكن، كسر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ت النساء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جدار الصمت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،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وانتزعت الضحايا حقهن في الكلام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 والبوحليَحْكِين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مآسي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هن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الاجتماعية والثقافية والنفسية و</w:t>
      </w:r>
      <w:r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 xml:space="preserve">لِتَنْجَليَ من خلالهن 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التكلفة </w:t>
      </w:r>
      <w:r w:rsidRPr="00CE5F32">
        <w:rPr>
          <w:rFonts w:ascii="Arabic Typesetting" w:hAnsi="Arabic Typesetting" w:cs="Arabic Typesetting" w:hint="cs"/>
          <w:color w:val="000000" w:themeColor="text1"/>
          <w:sz w:val="48"/>
          <w:szCs w:val="48"/>
          <w:rtl/>
          <w:lang w:val="en-US" w:eastAsia="en-US"/>
        </w:rPr>
        <w:t>الباهظة</w:t>
      </w:r>
      <w:r w:rsidR="000C3FD7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 التي يتحملها المجتمع وموارده</w:t>
      </w:r>
    </w:p>
    <w:p w:rsidR="00C563DB" w:rsidRPr="00AD4C46" w:rsidRDefault="005A06FD" w:rsidP="00AD4C46">
      <w:pPr>
        <w:tabs>
          <w:tab w:val="left" w:pos="4569"/>
          <w:tab w:val="right" w:pos="9639"/>
        </w:tabs>
        <w:bidi/>
        <w:spacing w:before="240" w:after="0"/>
        <w:jc w:val="both"/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eastAsia="en-US" w:bidi="ar-MA"/>
        </w:rPr>
      </w:pPr>
      <w:r w:rsidRPr="00AD4C46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eastAsia="en-US" w:bidi="ar-MA"/>
        </w:rPr>
        <w:t xml:space="preserve">أيتها </w:t>
      </w:r>
      <w:r w:rsidR="00AD4C46" w:rsidRPr="00AD4C46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eastAsia="en-US" w:bidi="ar-MA"/>
        </w:rPr>
        <w:t>السيدات والسادة</w:t>
      </w:r>
      <w:r w:rsidRPr="00AD4C46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eastAsia="en-US" w:bidi="ar-MA"/>
        </w:rPr>
        <w:t>،</w:t>
      </w:r>
    </w:p>
    <w:p w:rsidR="00F54EDD" w:rsidRPr="00CE5F32" w:rsidRDefault="003F71BD" w:rsidP="004862AA">
      <w:pPr>
        <w:keepNext/>
        <w:keepLines/>
        <w:tabs>
          <w:tab w:val="left" w:pos="4569"/>
          <w:tab w:val="right" w:pos="9639"/>
        </w:tabs>
        <w:bidi/>
        <w:spacing w:before="240" w:after="2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val="en-US" w:eastAsia="en-US" w:bidi="ar-TN"/>
        </w:rPr>
        <w:lastRenderedPageBreak/>
        <w:t xml:space="preserve">إن تداولكم  اليوم بهذا الخصوص  هو جزء من تداول كوني، </w:t>
      </w:r>
      <w:r w:rsidR="004862AA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ما زال </w:t>
      </w:r>
      <w:r w:rsidRPr="00CE5F32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لم ينجح </w:t>
      </w:r>
      <w:r w:rsidR="004862AA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بعد </w:t>
      </w:r>
      <w:r w:rsidRPr="00CE5F32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بشكل واضح في </w:t>
      </w:r>
      <w:r w:rsidR="004862AA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القضاء على هذه الآفة </w:t>
      </w:r>
      <w:r w:rsidRPr="00CE5F32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val="en-US" w:eastAsia="en-US" w:bidi="ar-TN"/>
        </w:rPr>
        <w:t>التي ت</w:t>
      </w:r>
      <w:r w:rsidR="004862AA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val="en-US" w:eastAsia="en-US" w:bidi="ar-TN"/>
        </w:rPr>
        <w:t>شترك فيها جميع الدول وَإِنْ بدرجات متفاوتة</w:t>
      </w:r>
      <w:r w:rsidRPr="00CE5F32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rtl/>
          <w:lang w:val="en-US" w:eastAsia="en-US" w:bidi="ar-TN"/>
        </w:rPr>
        <w:t xml:space="preserve">،  بما فيها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م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نطقة 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الشرق الأوسط وشمال افريقيا  التي تنامى فيها الوعي بها خلال </w:t>
      </w:r>
      <w:r w:rsidR="00F54EDD"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>العشرية الأخيرة</w:t>
      </w:r>
      <w:r w:rsidRPr="00CE5F32">
        <w:rPr>
          <w:rFonts w:ascii="Arabic Typesetting" w:hAnsi="Arabic Typesetting" w:cs="Arabic Typesetting"/>
          <w:color w:val="000000" w:themeColor="text1"/>
          <w:sz w:val="48"/>
          <w:szCs w:val="48"/>
          <w:rtl/>
          <w:lang w:val="en-US" w:eastAsia="en-US"/>
        </w:rPr>
        <w:t xml:space="preserve">، حيث تم 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ا</w:t>
      </w:r>
      <w:r w:rsidR="00F54ED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عتماد  </w:t>
      </w:r>
      <w:r w:rsidR="001A70CC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قوانين</w:t>
      </w:r>
      <w:r w:rsidR="00F54ED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خاصة 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ب</w:t>
      </w:r>
      <w:r w:rsidR="00E036D1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مناهضة ا</w:t>
      </w:r>
      <w:r w:rsidR="004862AA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لعنف ضد ال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نساء </w:t>
      </w:r>
      <w:r w:rsidRPr="004862AA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و</w:t>
      </w:r>
      <w:r w:rsidR="004862AA" w:rsidRP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بلورة</w:t>
      </w:r>
      <w:r w:rsidR="00F54ED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ا</w:t>
      </w:r>
      <w:r w:rsidR="004916D4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ستراتيجيات </w:t>
      </w:r>
      <w:r w:rsidR="001A70CC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وطنية لمناهضة العنف ضد النساء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في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عدد من </w:t>
      </w:r>
      <w:r w:rsidR="00040075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دول المنطقة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.</w:t>
      </w:r>
    </w:p>
    <w:p w:rsidR="004862AA" w:rsidRDefault="00CE472D" w:rsidP="004862AA">
      <w:pPr>
        <w:bidi/>
        <w:spacing w:after="0"/>
        <w:jc w:val="both"/>
        <w:rPr>
          <w:rFonts w:ascii="Arabic Typesetting" w:hAnsi="Arabic Typesetting" w:cs="Arabic Typesetting"/>
          <w:sz w:val="48"/>
          <w:szCs w:val="48"/>
          <w:rtl/>
          <w:lang w:eastAsia="en-US"/>
        </w:rPr>
      </w:pP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إن </w:t>
      </w:r>
      <w:r w:rsidR="005D4DC1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هذ</w:t>
      </w:r>
      <w:r w:rsidR="00F54ED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ه ال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قوانين </w:t>
      </w:r>
      <w:r w:rsidR="004916D4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و</w:t>
      </w:r>
      <w:r w:rsidR="00E83608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إن</w:t>
      </w:r>
      <w:r w:rsidR="005D4DC1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تضمنت مجموعة من ال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مقتضيات ذات الصلة </w:t>
      </w:r>
      <w:r w:rsidR="005D4DC1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بحماية </w:t>
      </w:r>
      <w:r w:rsidR="001A70CC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السلامة</w:t>
      </w:r>
      <w:r w:rsidR="00E83608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الجسدية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 للنساء وتوفير </w:t>
      </w:r>
      <w:r w:rsidR="0083424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سبل الانتصاف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وجبر الضرر والدعم القانوني من أجل الولوج إلى العدالة،</w:t>
      </w:r>
      <w:r w:rsidR="00E83608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إلا أنها أبانت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بالملموس أن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هذه الآفة أعمق وأكبر 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اكبر من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أ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ن ت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حارب بوسائل محض قانونية و/أو قضائية لسبب جلي هو أنها ذا</w:t>
      </w:r>
      <w:r w:rsidRPr="00CE5F32">
        <w:rPr>
          <w:rFonts w:ascii="Arabic Typesetting" w:hAnsi="Arabic Typesetting" w:cs="Arabic Typesetting"/>
          <w:sz w:val="48"/>
          <w:szCs w:val="48"/>
          <w:rtl/>
          <w:lang w:eastAsia="en-US"/>
        </w:rPr>
        <w:t xml:space="preserve">ت أبعاد اجتماعية وثقافية 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eastAsia="en-US"/>
        </w:rPr>
        <w:t xml:space="preserve">واقتصادية </w:t>
      </w:r>
      <w:r w:rsidRPr="00CE5F32">
        <w:rPr>
          <w:rFonts w:ascii="Arabic Typesetting" w:hAnsi="Arabic Typesetting" w:cs="Arabic Typesetting"/>
          <w:sz w:val="48"/>
          <w:szCs w:val="48"/>
          <w:rtl/>
          <w:lang w:eastAsia="en-US"/>
        </w:rPr>
        <w:t>و</w:t>
      </w:r>
      <w:r w:rsidR="004862AA">
        <w:rPr>
          <w:rFonts w:ascii="Arabic Typesetting" w:hAnsi="Arabic Typesetting" w:cs="Arabic Typesetting" w:hint="cs"/>
          <w:sz w:val="48"/>
          <w:szCs w:val="48"/>
          <w:rtl/>
          <w:lang w:eastAsia="en-US"/>
        </w:rPr>
        <w:t xml:space="preserve">أنها وثيقة الصلة بالأنماط الثقافية السائدة والتقاليد الموروثة. </w:t>
      </w:r>
    </w:p>
    <w:p w:rsidR="00AD4C46" w:rsidRDefault="004862AA" w:rsidP="00AD4C46">
      <w:pPr>
        <w:bidi/>
        <w:spacing w:after="0"/>
        <w:jc w:val="both"/>
        <w:rPr>
          <w:rFonts w:ascii="Arabic Typesetting" w:hAnsi="Arabic Typesetting" w:cs="Arabic Typesetting"/>
          <w:sz w:val="48"/>
          <w:szCs w:val="48"/>
          <w:rtl/>
          <w:lang w:val="en-US" w:eastAsia="en-US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لذلك، فإن من الضروري </w:t>
      </w:r>
      <w:r w:rsidR="00C721B6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الوقوف</w:t>
      </w:r>
      <w:r w:rsidR="00E83608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عند التمفصلات الاجتماعية و الثقافية ل</w:t>
      </w:r>
      <w:r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هذه الآفة 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مع استقصاء الأسباب التي تحول دون محاسبة الجناة ومن بينها بالطبع </w:t>
      </w:r>
      <w:r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هيمنة </w:t>
      </w:r>
      <w:r w:rsidR="0083424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آليات تسوية المنازعات العرفية 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و</w:t>
      </w:r>
      <w:r w:rsidR="0083424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التقليدية</w:t>
      </w:r>
      <w:r w:rsidR="00C721B6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و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اللجوء إلى </w:t>
      </w:r>
      <w:r w:rsidR="00C721B6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الوساطة وتبني التسامح المجتمعي مع </w:t>
      </w:r>
      <w:r w:rsidR="00CE472D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العنف 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>ضد النساء.</w:t>
      </w:r>
    </w:p>
    <w:p w:rsidR="009F7BD6" w:rsidRPr="00CE5F32" w:rsidRDefault="00E772FE" w:rsidP="00AD4C46">
      <w:pPr>
        <w:bidi/>
        <w:spacing w:after="0"/>
        <w:jc w:val="both"/>
        <w:rPr>
          <w:rFonts w:ascii="Arabic Typesetting" w:hAnsi="Arabic Typesetting" w:cs="Arabic Typesetting"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و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مما تجدر الإشارة إليه في هذا السياق أن </w:t>
      </w:r>
      <w:r w:rsidR="00622039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البحث الوطني حول انتشار ظاهرة العنف ضد النساء</w:t>
      </w:r>
      <w:r w:rsidRPr="00CE5F32">
        <w:rPr>
          <w:rStyle w:val="Appelnotedebasdep"/>
          <w:rFonts w:ascii="Arabic Typesetting" w:hAnsi="Arabic Typesetting" w:cs="Arabic Typesetting"/>
          <w:sz w:val="48"/>
          <w:szCs w:val="48"/>
          <w:shd w:val="clear" w:color="auto" w:fill="FFFFFF"/>
          <w:rtl/>
        </w:rPr>
        <w:footnoteReference w:id="2"/>
      </w:r>
      <w:r w:rsidR="00622039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،</w:t>
      </w:r>
      <w:r w:rsidR="00AD4C46">
        <w:rPr>
          <w:rFonts w:ascii="Arabic Typesetting" w:hAnsi="Arabic Typesetting" w:cs="Arabic Typesetting" w:hint="cs"/>
          <w:sz w:val="48"/>
          <w:szCs w:val="48"/>
          <w:rtl/>
          <w:lang w:val="en-US" w:eastAsia="en-US"/>
        </w:rPr>
        <w:t xml:space="preserve"> كشف عن أ</w:t>
      </w: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</w:rPr>
        <w:t>ن  93  بالمائة</w:t>
      </w:r>
      <w:r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>من</w:t>
      </w:r>
      <w:r w:rsidR="00622039" w:rsidRPr="00CE5F32">
        <w:rPr>
          <w:rFonts w:ascii="Arabic Typesetting" w:hAnsi="Arabic Typesetting" w:cs="Arabic Typesetting"/>
          <w:sz w:val="48"/>
          <w:szCs w:val="48"/>
          <w:rtl/>
          <w:lang w:val="en-US" w:eastAsia="en-US"/>
        </w:rPr>
        <w:t xml:space="preserve"> النساء الناجيات من العنف يحجمن</w:t>
      </w:r>
      <w:r w:rsidR="00622039"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</w:rPr>
        <w:t xml:space="preserve"> عن تقديم شكاية ضد المعن</w:t>
      </w: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</w:rPr>
        <w:t>ف</w:t>
      </w: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</w:rPr>
        <w:t>!</w:t>
      </w:r>
    </w:p>
    <w:p w:rsidR="00E772FE" w:rsidRDefault="00E772FE" w:rsidP="00C2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eastAsia="en-US"/>
        </w:rPr>
      </w:pPr>
    </w:p>
    <w:p w:rsidR="00AD4C46" w:rsidRPr="00CE5F32" w:rsidRDefault="00AD4C46" w:rsidP="00AD4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eastAsia="en-US"/>
        </w:rPr>
      </w:pPr>
    </w:p>
    <w:p w:rsidR="00BA0BF8" w:rsidRPr="00CE5F32" w:rsidRDefault="00AD4C46" w:rsidP="00E77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eastAsia="en-US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eastAsia="en-US"/>
        </w:rPr>
        <w:lastRenderedPageBreak/>
        <w:t>أيتها</w:t>
      </w:r>
      <w:r w:rsidR="00BA0BF8" w:rsidRPr="00CE5F32">
        <w:rPr>
          <w:rFonts w:ascii="Arabic Typesetting" w:hAnsi="Arabic Typesetting" w:cs="Arabic Typesetting"/>
          <w:b/>
          <w:bCs/>
          <w:sz w:val="48"/>
          <w:szCs w:val="48"/>
          <w:rtl/>
          <w:lang w:eastAsia="en-US"/>
        </w:rPr>
        <w:t xml:space="preserve"> السيدات و السادة ،</w:t>
      </w:r>
    </w:p>
    <w:p w:rsidR="00A479C0" w:rsidRPr="00CE5F32" w:rsidRDefault="00D96021" w:rsidP="00AD4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jc w:val="both"/>
        <w:rPr>
          <w:rFonts w:ascii="Arabic Typesetting" w:eastAsia="Times New Roman" w:hAnsi="Arabic Typesetting" w:cs="Arabic Typesetting"/>
          <w:sz w:val="48"/>
          <w:szCs w:val="48"/>
          <w:lang w:val="en-US"/>
        </w:rPr>
      </w:pP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لقد عزز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المغرب في الآونة الأخيرة جهوده الرامية إلى تمكين النساء والفتيات من العيش دون عنف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. وفي هذا الإطار، تمت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المصادقة على القانون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رقم </w:t>
      </w:r>
      <w:r w:rsidR="00AD4C46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103.13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المتعلق بمحاربة العنف ضد النساء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، وهو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الذي تطرحه أشغال هذ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ا الاجتماع الإقليمي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للنقاش، من أج</w:t>
      </w:r>
      <w:r w:rsidR="006B7F8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ل استحضار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مستجداته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،</w:t>
      </w:r>
      <w:r w:rsidR="006B7F8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و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تقييم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تطبيقه بعد</w:t>
      </w:r>
      <w:r w:rsidR="00CE472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سنة من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دخول</w:t>
      </w:r>
      <w:r w:rsidR="00CE472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ه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حيز النفاذ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،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ومناقشة الإشكاليات التي </w:t>
      </w:r>
      <w:r w:rsidR="00CE472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أثار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ت</w:t>
      </w:r>
      <w:r w:rsidR="00CE472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ها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تطبيقاته المختلفة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وأنجع السبل لتدبيرها</w:t>
      </w:r>
      <w:r w:rsidR="00CE472D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، بما فيها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توفير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إشكالية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الحماية القانونية والاجتماعية ال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ضرورية 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للنساء الناجيات من  العنف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، وإشكالية الإثبات، وإشكالية تقدير الأضرار النفسية وإثباتها، وإشكالية الوقاية من العنف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، مع تسليط الضوء على مدى فعالي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ة </w:t>
      </w:r>
      <w:bookmarkStart w:id="0" w:name="_GoBack"/>
      <w:bookmarkEnd w:id="0"/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آليات التكفل </w:t>
      </w:r>
      <w:r w:rsidR="00AD4C46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ونجاع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تها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ضمن 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منظور مقارن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يأخذ بعين الاعتبار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الممارسات الإقليمية الفضلى في </w:t>
      </w:r>
      <w:r w:rsidR="00AD4C46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هذا 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المجال</w:t>
      </w:r>
      <w:r w:rsidR="00A479C0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.  </w:t>
      </w:r>
    </w:p>
    <w:p w:rsidR="009F7BD6" w:rsidRPr="00AD4C46" w:rsidRDefault="009F7BD6" w:rsidP="00C2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jc w:val="both"/>
        <w:rPr>
          <w:rFonts w:ascii="Arabic Typesetting" w:eastAsia="Times New Roman" w:hAnsi="Arabic Typesetting" w:cs="Arabic Typesetting"/>
          <w:sz w:val="48"/>
          <w:szCs w:val="48"/>
          <w:lang w:val="en-US"/>
        </w:rPr>
      </w:pPr>
    </w:p>
    <w:p w:rsidR="003173F9" w:rsidRPr="00CE5F32" w:rsidRDefault="003173F9" w:rsidP="00C25BB8">
      <w:pPr>
        <w:bidi/>
        <w:spacing w:before="240" w:after="240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</w:pP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السيدات و السادة ،</w:t>
      </w:r>
    </w:p>
    <w:p w:rsidR="00C25BB8" w:rsidRPr="00CE5F32" w:rsidRDefault="0091440D" w:rsidP="0091440D">
      <w:pPr>
        <w:bidi/>
        <w:spacing w:after="0"/>
        <w:jc w:val="both"/>
        <w:rPr>
          <w:rFonts w:ascii="Arabic Typesetting" w:hAnsi="Arabic Typesetting" w:cs="Arabic Typesetting"/>
          <w:sz w:val="48"/>
          <w:szCs w:val="48"/>
          <w:shd w:val="clear" w:color="auto" w:fill="FFFFFF"/>
          <w:rtl/>
        </w:rPr>
      </w:pP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م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ازالت التقارير الدولية والإقليمية والوطنية تسجل استفحال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آفة العنف ضد النساء.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ومما يثير قلقنا كمعنيين بمحاربتها ت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شعب 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أشكالها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وتنوعها 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ب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ارتباط مع توسع 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شبكة التواصل الاجتماعي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،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مما يدعونا إلى بلورة مبادرات جديدة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وتصورات جديدة 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لمواجهة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الإشكالات التي بات يطرحها 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الع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ا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لم الافتراضي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بما يتيحه من 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أشكال </w:t>
      </w:r>
      <w:r w:rsidR="001E4915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عنف 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جديدة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 تحد بكيفية ملموسة من تط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ور المؤشرات الإيجابية  لمناهضة العنف ضد النساء والفتيات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.</w:t>
      </w:r>
    </w:p>
    <w:p w:rsidR="00550932" w:rsidRPr="00CE5F32" w:rsidRDefault="00550932" w:rsidP="00C25BB8">
      <w:pPr>
        <w:rPr>
          <w:rFonts w:ascii="Arabic Typesetting" w:eastAsia="Times New Roman" w:hAnsi="Arabic Typesetting" w:cs="Arabic Typesetting"/>
          <w:sz w:val="48"/>
          <w:szCs w:val="48"/>
          <w:rtl/>
        </w:rPr>
      </w:pPr>
    </w:p>
    <w:p w:rsidR="008F0FD9" w:rsidRPr="00CE5F32" w:rsidRDefault="00DB4CA0" w:rsidP="00C25BB8">
      <w:pPr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shd w:val="clear" w:color="auto" w:fill="FFFFFF"/>
          <w:rtl/>
        </w:rPr>
      </w:pPr>
      <w:r w:rsidRPr="00CE5F32">
        <w:rPr>
          <w:rFonts w:ascii="Arabic Typesetting" w:hAnsi="Arabic Typesetting" w:cs="Arabic Typesetting"/>
          <w:b/>
          <w:bCs/>
          <w:sz w:val="48"/>
          <w:szCs w:val="48"/>
          <w:shd w:val="clear" w:color="auto" w:fill="FFFFFF"/>
          <w:rtl/>
        </w:rPr>
        <w:t>أيها الحضور الكريم</w:t>
      </w:r>
    </w:p>
    <w:p w:rsidR="00D37FE0" w:rsidRPr="00CE5F32" w:rsidRDefault="00D37FE0" w:rsidP="0091440D">
      <w:pPr>
        <w:bidi/>
        <w:spacing w:before="240" w:after="240"/>
        <w:jc w:val="both"/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</w:pP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lastRenderedPageBreak/>
        <w:t xml:space="preserve">إذا كان المجلس الوطني لحقوق الإنسان، بوصفه آلية وطنية لحماية حقوق الإنسان والنهوض  بها، قد </w:t>
      </w: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  <w:t xml:space="preserve">جعل من فعلية الحقوق 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و ممارسة الحريات </w:t>
      </w: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  <w:t xml:space="preserve">عنوانا لبرامج عمله ، فإن </w:t>
      </w:r>
      <w:r w:rsidR="0091440D">
        <w:rPr>
          <w:rFonts w:ascii="Arabic Typesetting" w:hAnsi="Arabic Typesetting" w:cs="Arabic Typesetting" w:hint="cs"/>
          <w:sz w:val="48"/>
          <w:szCs w:val="48"/>
          <w:shd w:val="clear" w:color="auto" w:fill="FFFFFF"/>
          <w:rtl/>
          <w:lang w:bidi="ar-MA"/>
        </w:rPr>
        <w:t xml:space="preserve">حماية حقوقالنساء ووقايتهن من كل تمييز وعنف، وتمكينهن تأتي في طليعة أولوياتنا. </w:t>
      </w:r>
    </w:p>
    <w:p w:rsidR="00FF4BFF" w:rsidRPr="00CE5F32" w:rsidRDefault="0091440D" w:rsidP="0091440D">
      <w:pPr>
        <w:bidi/>
        <w:spacing w:before="240" w:after="240"/>
        <w:jc w:val="both"/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</w:pP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وإننا لعلى يقين أن من الضروري في هذا الإطار 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تك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ث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يف الجهود والعمل على التقائيتها، ل</w:t>
      </w:r>
      <w:r w:rsidR="00EF3FDA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إحقاق المساواة بين الجنسين والقضاء على جميع أشكال التمييز 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والعنف</w:t>
      </w:r>
      <w:r w:rsidR="00B21651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،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 مع ما يقتضيه ذلك من </w:t>
      </w:r>
      <w:r w:rsidR="00B21651"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  <w:t>اعتماد نهج تشريعي شامل، يكفل الإلمام بجميع أشكال العنف الموجه للنساء سواء أكان ذلك في الحياة العامة أو الخاصة</w:t>
      </w:r>
      <w:r w:rsidR="00775EBB">
        <w:rPr>
          <w:rFonts w:ascii="Arabic Typesetting" w:hAnsi="Arabic Typesetting" w:cs="Arabic Typesetting" w:hint="cs"/>
          <w:sz w:val="48"/>
          <w:szCs w:val="48"/>
          <w:shd w:val="clear" w:color="auto" w:fill="FFFFFF"/>
          <w:rtl/>
          <w:lang w:bidi="ar-MA"/>
        </w:rPr>
        <w:t xml:space="preserve">، ويشمل الحماية والوقاية ويؤمن عدم الإفلات من العقاب. </w:t>
      </w:r>
    </w:p>
    <w:p w:rsidR="00C25BB8" w:rsidRPr="00CE5F32" w:rsidRDefault="00EF3FDA" w:rsidP="00775EBB">
      <w:pPr>
        <w:bidi/>
        <w:spacing w:before="240" w:after="240"/>
        <w:jc w:val="both"/>
        <w:rPr>
          <w:rFonts w:ascii="Arabic Typesetting" w:hAnsi="Arabic Typesetting" w:cs="Arabic Typesetting"/>
          <w:sz w:val="48"/>
          <w:szCs w:val="48"/>
          <w:rtl/>
          <w:lang w:val="en-US" w:eastAsia="en-US"/>
        </w:rPr>
      </w:pPr>
      <w:r w:rsidRPr="00CE5F32">
        <w:rPr>
          <w:rFonts w:ascii="Arabic Typesetting" w:hAnsi="Arabic Typesetting" w:cs="Arabic Typesetting"/>
          <w:sz w:val="48"/>
          <w:szCs w:val="48"/>
          <w:shd w:val="clear" w:color="auto" w:fill="FFFFFF"/>
          <w:rtl/>
          <w:lang w:bidi="ar-MA"/>
        </w:rPr>
        <w:t>من هذا المنطلق</w:t>
      </w:r>
      <w:r w:rsidR="00775EBB">
        <w:rPr>
          <w:rFonts w:ascii="Arabic Typesetting" w:hAnsi="Arabic Typesetting" w:cs="Arabic Typesetting" w:hint="cs"/>
          <w:sz w:val="48"/>
          <w:szCs w:val="48"/>
          <w:shd w:val="clear" w:color="auto" w:fill="FFFFFF"/>
          <w:rtl/>
          <w:lang w:bidi="ar-MA"/>
        </w:rPr>
        <w:t>، لا يسعنا إلا أن ن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حيي وندعم كل مبادرة تصب في</w:t>
      </w:r>
      <w:r w:rsidR="00775EBB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 xml:space="preserve"> اتجاه</w:t>
      </w:r>
      <w:r w:rsidR="00441642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التعاطي بجدية وحزم </w:t>
      </w:r>
      <w:r w:rsidR="00775EBB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مع ا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لعنف ضد النساء</w:t>
      </w:r>
      <w:r w:rsidR="001A3D5C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.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فليتقبل المنظمات و المنظمون لهذا الملقى </w:t>
      </w:r>
      <w:r w:rsidR="00C25BB8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الإقليمي العربي </w:t>
      </w:r>
      <w:r w:rsidR="008C3529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مني </w:t>
      </w:r>
      <w:r w:rsidR="00867ADF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جزيل الشكر و الامتنان مع متمنياتي </w:t>
      </w:r>
      <w:r w:rsidR="00775EBB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ب</w:t>
      </w:r>
      <w:r w:rsidR="00867ADF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كامل للنجاح لأشغال</w:t>
      </w:r>
      <w:r w:rsidR="00775EBB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ه.</w:t>
      </w:r>
    </w:p>
    <w:p w:rsidR="00441642" w:rsidRPr="00CE5F32" w:rsidRDefault="00441642" w:rsidP="00867ADF">
      <w:pPr>
        <w:tabs>
          <w:tab w:val="right" w:pos="990"/>
          <w:tab w:val="right" w:pos="1134"/>
        </w:tabs>
        <w:suppressAutoHyphens/>
        <w:autoSpaceDE w:val="0"/>
        <w:autoSpaceDN w:val="0"/>
        <w:bidi/>
        <w:adjustRightInd w:val="0"/>
        <w:spacing w:before="120"/>
        <w:ind w:left="-2"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</w:pP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والشكر موصول لك</w:t>
      </w:r>
      <w:r w:rsidR="00867ADF"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>ن و لكم</w:t>
      </w:r>
      <w:r w:rsidRPr="00CE5F32">
        <w:rPr>
          <w:rFonts w:ascii="Arabic Typesetting" w:eastAsia="Times New Roman" w:hAnsi="Arabic Typesetting" w:cs="Arabic Typesetting"/>
          <w:sz w:val="48"/>
          <w:szCs w:val="48"/>
          <w:rtl/>
          <w:lang w:val="en-US"/>
        </w:rPr>
        <w:t xml:space="preserve"> جميعا</w:t>
      </w:r>
      <w:r w:rsidR="00775EBB">
        <w:rPr>
          <w:rFonts w:ascii="Arabic Typesetting" w:eastAsia="Times New Roman" w:hAnsi="Arabic Typesetting" w:cs="Arabic Typesetting" w:hint="cs"/>
          <w:sz w:val="48"/>
          <w:szCs w:val="48"/>
          <w:rtl/>
          <w:lang w:val="en-US"/>
        </w:rPr>
        <w:t>.</w:t>
      </w:r>
    </w:p>
    <w:p w:rsidR="00A479C0" w:rsidRPr="008020C6" w:rsidRDefault="00A479C0" w:rsidP="00C25BB8">
      <w:pPr>
        <w:tabs>
          <w:tab w:val="right" w:pos="990"/>
          <w:tab w:val="right" w:pos="1133"/>
        </w:tabs>
        <w:suppressAutoHyphens/>
        <w:autoSpaceDE w:val="0"/>
        <w:autoSpaceDN w:val="0"/>
        <w:bidi/>
        <w:adjustRightInd w:val="0"/>
        <w:spacing w:before="120"/>
        <w:ind w:left="-2" w:firstLine="567"/>
        <w:jc w:val="both"/>
        <w:rPr>
          <w:rFonts w:ascii="Sakkal Majalla" w:eastAsia="Times New Roman" w:hAnsi="Sakkal Majalla" w:cs="Sakkal Majalla"/>
          <w:color w:val="FF0000"/>
          <w:sz w:val="32"/>
          <w:szCs w:val="32"/>
          <w:rtl/>
          <w:lang w:val="en-US"/>
        </w:rPr>
      </w:pPr>
      <w:r w:rsidRPr="008020C6">
        <w:rPr>
          <w:rFonts w:ascii="Sakkal Majalla" w:eastAsia="Times New Roman" w:hAnsi="Sakkal Majalla" w:cs="Sakkal Majalla"/>
          <w:color w:val="FF0000"/>
          <w:sz w:val="32"/>
          <w:szCs w:val="32"/>
          <w:rtl/>
          <w:lang w:val="en-US"/>
        </w:rPr>
        <w:t xml:space="preserve">. </w:t>
      </w:r>
    </w:p>
    <w:p w:rsidR="00A479C0" w:rsidRPr="008020C6" w:rsidRDefault="00A479C0" w:rsidP="00C25BB8">
      <w:pPr>
        <w:bidi/>
        <w:rPr>
          <w:rFonts w:ascii="Sakkal Majalla" w:hAnsi="Sakkal Majalla" w:cs="Sakkal Majalla"/>
          <w:color w:val="FF0000"/>
          <w:sz w:val="32"/>
          <w:szCs w:val="32"/>
        </w:rPr>
      </w:pPr>
    </w:p>
    <w:sectPr w:rsidR="00A479C0" w:rsidRPr="008020C6" w:rsidSect="001115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17" w:rsidRDefault="00621217" w:rsidP="00F54EDD">
      <w:pPr>
        <w:spacing w:after="0" w:line="240" w:lineRule="auto"/>
      </w:pPr>
      <w:r>
        <w:separator/>
      </w:r>
    </w:p>
  </w:endnote>
  <w:endnote w:type="continuationSeparator" w:id="1">
    <w:p w:rsidR="00621217" w:rsidRDefault="00621217" w:rsidP="00F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48708"/>
      <w:docPartObj>
        <w:docPartGallery w:val="Page Numbers (Bottom of Page)"/>
        <w:docPartUnique/>
      </w:docPartObj>
    </w:sdtPr>
    <w:sdtContent>
      <w:p w:rsidR="0091440D" w:rsidRDefault="0091440D" w:rsidP="00C25BB8">
        <w:pPr>
          <w:pStyle w:val="Pieddepage"/>
          <w:jc w:val="center"/>
        </w:pPr>
        <w:r>
          <w:t xml:space="preserve">| </w:t>
        </w:r>
        <w:r w:rsidR="00075674">
          <w:fldChar w:fldCharType="begin"/>
        </w:r>
        <w:r w:rsidR="00D10993">
          <w:instrText xml:space="preserve"> PAGE   \* MERGEFORMAT </w:instrText>
        </w:r>
        <w:r w:rsidR="00075674">
          <w:fldChar w:fldCharType="separate"/>
        </w:r>
        <w:r w:rsidR="005D1BDE">
          <w:rPr>
            <w:noProof/>
          </w:rPr>
          <w:t>1</w:t>
        </w:r>
        <w:r w:rsidR="00075674">
          <w:rPr>
            <w:noProof/>
          </w:rPr>
          <w:fldChar w:fldCharType="end"/>
        </w:r>
      </w:p>
    </w:sdtContent>
  </w:sdt>
  <w:p w:rsidR="0091440D" w:rsidRDefault="009144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17" w:rsidRDefault="00621217" w:rsidP="00F54EDD">
      <w:pPr>
        <w:spacing w:after="0" w:line="240" w:lineRule="auto"/>
      </w:pPr>
      <w:r>
        <w:separator/>
      </w:r>
    </w:p>
  </w:footnote>
  <w:footnote w:type="continuationSeparator" w:id="1">
    <w:p w:rsidR="00621217" w:rsidRDefault="00621217" w:rsidP="00F54EDD">
      <w:pPr>
        <w:spacing w:after="0" w:line="240" w:lineRule="auto"/>
      </w:pPr>
      <w:r>
        <w:continuationSeparator/>
      </w:r>
    </w:p>
  </w:footnote>
  <w:footnote w:id="2">
    <w:p w:rsidR="0091440D" w:rsidRPr="005138B7" w:rsidRDefault="0091440D" w:rsidP="00E772FE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5138B7">
        <w:rPr>
          <w:rFonts w:ascii="Sakkal Majalla" w:hAnsi="Sakkal Majalla" w:cs="Sakkal Majalla" w:hint="cs"/>
          <w:color w:val="000000"/>
          <w:shd w:val="clear" w:color="auto" w:fill="FFFFFF"/>
          <w:rtl/>
        </w:rPr>
        <w:t xml:space="preserve">وزارة الأسرة و التضامن و المساواة و التنمية الاجتماعية، البحث الوطني حول انتشار ظاهرة العنف ضد النساء </w:t>
      </w:r>
      <w:r>
        <w:rPr>
          <w:rFonts w:ascii="Sakkal Majalla" w:hAnsi="Sakkal Majalla" w:cs="Sakkal Majalla" w:hint="cs"/>
          <w:color w:val="000000"/>
          <w:shd w:val="clear" w:color="auto" w:fill="FFFFFF"/>
          <w:rtl/>
        </w:rPr>
        <w:t>،2019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3AE"/>
    <w:multiLevelType w:val="hybridMultilevel"/>
    <w:tmpl w:val="B854E9E8"/>
    <w:lvl w:ilvl="0" w:tplc="F50C8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ED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82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EC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02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8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F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C0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841B0"/>
    <w:multiLevelType w:val="hybridMultilevel"/>
    <w:tmpl w:val="7E260BCE"/>
    <w:lvl w:ilvl="0" w:tplc="6FAC9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4D7"/>
    <w:multiLevelType w:val="multilevel"/>
    <w:tmpl w:val="6F3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5773F"/>
    <w:multiLevelType w:val="hybridMultilevel"/>
    <w:tmpl w:val="28FCB868"/>
    <w:lvl w:ilvl="0" w:tplc="F77A97DE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sz w:val="18"/>
        <w:szCs w:val="18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3064" w:hanging="360"/>
      </w:pPr>
    </w:lvl>
    <w:lvl w:ilvl="2" w:tplc="040C001B" w:tentative="1">
      <w:start w:val="1"/>
      <w:numFmt w:val="lowerRoman"/>
      <w:lvlText w:val="%3."/>
      <w:lvlJc w:val="right"/>
      <w:pPr>
        <w:ind w:left="3784" w:hanging="180"/>
      </w:pPr>
    </w:lvl>
    <w:lvl w:ilvl="3" w:tplc="040C000F" w:tentative="1">
      <w:start w:val="1"/>
      <w:numFmt w:val="decimal"/>
      <w:lvlText w:val="%4."/>
      <w:lvlJc w:val="left"/>
      <w:pPr>
        <w:ind w:left="4504" w:hanging="360"/>
      </w:pPr>
    </w:lvl>
    <w:lvl w:ilvl="4" w:tplc="040C0019" w:tentative="1">
      <w:start w:val="1"/>
      <w:numFmt w:val="lowerLetter"/>
      <w:lvlText w:val="%5."/>
      <w:lvlJc w:val="left"/>
      <w:pPr>
        <w:ind w:left="5224" w:hanging="360"/>
      </w:pPr>
    </w:lvl>
    <w:lvl w:ilvl="5" w:tplc="040C001B" w:tentative="1">
      <w:start w:val="1"/>
      <w:numFmt w:val="lowerRoman"/>
      <w:lvlText w:val="%6."/>
      <w:lvlJc w:val="right"/>
      <w:pPr>
        <w:ind w:left="5944" w:hanging="180"/>
      </w:pPr>
    </w:lvl>
    <w:lvl w:ilvl="6" w:tplc="040C000F" w:tentative="1">
      <w:start w:val="1"/>
      <w:numFmt w:val="decimal"/>
      <w:lvlText w:val="%7."/>
      <w:lvlJc w:val="left"/>
      <w:pPr>
        <w:ind w:left="6664" w:hanging="360"/>
      </w:pPr>
    </w:lvl>
    <w:lvl w:ilvl="7" w:tplc="040C0019" w:tentative="1">
      <w:start w:val="1"/>
      <w:numFmt w:val="lowerLetter"/>
      <w:lvlText w:val="%8."/>
      <w:lvlJc w:val="left"/>
      <w:pPr>
        <w:ind w:left="7384" w:hanging="360"/>
      </w:pPr>
    </w:lvl>
    <w:lvl w:ilvl="8" w:tplc="040C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68B36BC5"/>
    <w:multiLevelType w:val="hybridMultilevel"/>
    <w:tmpl w:val="5ACC9980"/>
    <w:lvl w:ilvl="0" w:tplc="66E02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EDD0C8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AD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B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EC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4C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4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68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4E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C2"/>
    <w:rsid w:val="0003741B"/>
    <w:rsid w:val="00040075"/>
    <w:rsid w:val="00075674"/>
    <w:rsid w:val="000C3FD7"/>
    <w:rsid w:val="000C4018"/>
    <w:rsid w:val="000F4341"/>
    <w:rsid w:val="001115F6"/>
    <w:rsid w:val="001A3D5C"/>
    <w:rsid w:val="001A70CC"/>
    <w:rsid w:val="001E0437"/>
    <w:rsid w:val="001E4915"/>
    <w:rsid w:val="00245679"/>
    <w:rsid w:val="003173F9"/>
    <w:rsid w:val="003A3733"/>
    <w:rsid w:val="003C794B"/>
    <w:rsid w:val="003F71BD"/>
    <w:rsid w:val="00425657"/>
    <w:rsid w:val="00441642"/>
    <w:rsid w:val="004862AA"/>
    <w:rsid w:val="004916D4"/>
    <w:rsid w:val="00550932"/>
    <w:rsid w:val="005A06FD"/>
    <w:rsid w:val="005A7D0D"/>
    <w:rsid w:val="005D1BDE"/>
    <w:rsid w:val="005D4DC1"/>
    <w:rsid w:val="00605B82"/>
    <w:rsid w:val="00607FAB"/>
    <w:rsid w:val="00612055"/>
    <w:rsid w:val="00621217"/>
    <w:rsid w:val="00622039"/>
    <w:rsid w:val="006268B0"/>
    <w:rsid w:val="006408B4"/>
    <w:rsid w:val="006B7F8D"/>
    <w:rsid w:val="006D4DA8"/>
    <w:rsid w:val="007144FB"/>
    <w:rsid w:val="007729FB"/>
    <w:rsid w:val="00775EBB"/>
    <w:rsid w:val="007B06DF"/>
    <w:rsid w:val="008020C6"/>
    <w:rsid w:val="0083424D"/>
    <w:rsid w:val="008420B0"/>
    <w:rsid w:val="00867ADF"/>
    <w:rsid w:val="00885C5A"/>
    <w:rsid w:val="008C3529"/>
    <w:rsid w:val="008D59EC"/>
    <w:rsid w:val="008E591C"/>
    <w:rsid w:val="008E74D3"/>
    <w:rsid w:val="008F0FD9"/>
    <w:rsid w:val="00904241"/>
    <w:rsid w:val="0091440D"/>
    <w:rsid w:val="00966D43"/>
    <w:rsid w:val="009F7BD6"/>
    <w:rsid w:val="00A326A8"/>
    <w:rsid w:val="00A479C0"/>
    <w:rsid w:val="00A82EC2"/>
    <w:rsid w:val="00A97077"/>
    <w:rsid w:val="00AD4C46"/>
    <w:rsid w:val="00B21651"/>
    <w:rsid w:val="00B27BA8"/>
    <w:rsid w:val="00B87A1F"/>
    <w:rsid w:val="00BA0BF8"/>
    <w:rsid w:val="00C25BB8"/>
    <w:rsid w:val="00C563DB"/>
    <w:rsid w:val="00C663D8"/>
    <w:rsid w:val="00C66546"/>
    <w:rsid w:val="00C721B6"/>
    <w:rsid w:val="00CB27AF"/>
    <w:rsid w:val="00CC673B"/>
    <w:rsid w:val="00CE1916"/>
    <w:rsid w:val="00CE472D"/>
    <w:rsid w:val="00CE5F32"/>
    <w:rsid w:val="00D10993"/>
    <w:rsid w:val="00D17297"/>
    <w:rsid w:val="00D37FE0"/>
    <w:rsid w:val="00D96021"/>
    <w:rsid w:val="00DB4CA0"/>
    <w:rsid w:val="00DC0D3E"/>
    <w:rsid w:val="00E036D1"/>
    <w:rsid w:val="00E64E06"/>
    <w:rsid w:val="00E76473"/>
    <w:rsid w:val="00E772FE"/>
    <w:rsid w:val="00E83608"/>
    <w:rsid w:val="00EA2A3A"/>
    <w:rsid w:val="00EF3FDA"/>
    <w:rsid w:val="00F54EDD"/>
    <w:rsid w:val="00FC2446"/>
    <w:rsid w:val="00FC454C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textmain">
    <w:name w:val="arttextmain"/>
    <w:basedOn w:val="Normal"/>
    <w:rsid w:val="0060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4E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4E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4E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A0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2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BB8"/>
  </w:style>
  <w:style w:type="paragraph" w:styleId="Pieddepage">
    <w:name w:val="footer"/>
    <w:basedOn w:val="Normal"/>
    <w:link w:val="PieddepageCar"/>
    <w:uiPriority w:val="99"/>
    <w:unhideWhenUsed/>
    <w:rsid w:val="00C2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BB8"/>
  </w:style>
  <w:style w:type="paragraph" w:styleId="Textedebulles">
    <w:name w:val="Balloon Text"/>
    <w:basedOn w:val="Normal"/>
    <w:link w:val="TextedebullesCar"/>
    <w:uiPriority w:val="99"/>
    <w:semiHidden/>
    <w:unhideWhenUsed/>
    <w:rsid w:val="00C2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59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48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0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1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9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9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18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AFB-08EF-4E67-9385-C58F4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a.elidrissi</dc:creator>
  <cp:lastModifiedBy>m.sadki</cp:lastModifiedBy>
  <cp:revision>2</cp:revision>
  <cp:lastPrinted>2019-11-22T17:38:00Z</cp:lastPrinted>
  <dcterms:created xsi:type="dcterms:W3CDTF">2019-11-25T14:43:00Z</dcterms:created>
  <dcterms:modified xsi:type="dcterms:W3CDTF">2019-11-25T14:43:00Z</dcterms:modified>
</cp:coreProperties>
</file>